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</w:pP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Annex 1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.</w:t>
      </w:r>
      <w:r>
        <w:rPr>
          <w:rFonts w:hint="eastAsia" w:ascii="Times New Roman Bold" w:hAnsi="Times New Roman Bold" w:eastAsia="方正仿宋_GBK" w:cs="Times New Roman Bold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 Bold" w:hAnsi="Times New Roman Bold" w:eastAsia="方正仿宋_GBK" w:cs="Times New Roman Bold"/>
          <w:b/>
          <w:bCs/>
          <w:sz w:val="32"/>
          <w:szCs w:val="32"/>
          <w:lang w:eastAsia="zh-CN"/>
        </w:rPr>
        <w:t>Visiting schedule</w:t>
      </w:r>
      <w:bookmarkStart w:id="0" w:name="_GoBack"/>
      <w:bookmarkEnd w:id="0"/>
    </w:p>
    <w:tbl>
      <w:tblPr>
        <w:tblStyle w:val="5"/>
        <w:tblW w:w="9307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43"/>
        <w:gridCol w:w="2423"/>
        <w:gridCol w:w="3562"/>
      </w:tblGrid>
      <w:tr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  <w:lang w:eastAsia="zh-CN" w:bidi="ar"/>
              </w:rPr>
              <w:t>Date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  <w:lang w:eastAsia="zh-CN" w:bidi="ar"/>
              </w:rPr>
              <w:t xml:space="preserve">City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</w:rPr>
              <w:t>Itinerary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SimHei" w:cs="Times New Roman Regular"/>
                <w:bCs/>
                <w:color w:val="000000"/>
                <w:sz w:val="24"/>
                <w:szCs w:val="24"/>
                <w:lang w:eastAsia="zh-CN" w:bidi="ar"/>
              </w:rPr>
              <w:t>Itinerary Highlights</w:t>
            </w:r>
          </w:p>
        </w:tc>
      </w:tr>
      <w:tr>
        <w:trPr>
          <w:trHeight w:val="1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14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 Monday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Beijing, China</w:t>
            </w:r>
          </w:p>
          <w:p>
            <w:pPr>
              <w:widowControl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-</w:t>
            </w:r>
          </w:p>
          <w:p>
            <w:pPr>
              <w:widowControl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Astana，Kazakhstan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left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Plane upon arrival in Astana, Kazakhstan, </w:t>
            </w:r>
          </w:p>
          <w:p>
            <w:pPr>
              <w:autoSpaceDE/>
              <w:autoSpaceDN/>
              <w:spacing w:line="276" w:lineRule="auto"/>
              <w:jc w:val="left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Dedicated Car to  hotel for rest.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0" w:firstLineChars="0"/>
              <w:jc w:val="left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CFCFA 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>will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>sign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 a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 MOU  with the partners to promote good enterprises to each other, innovate mutually beneficial service models, and jointly promote TITR International multimodal transport cooperation. </w:t>
            </w:r>
          </w:p>
          <w:p>
            <w:pPr>
              <w:autoSpaceDE/>
              <w:autoSpaceDN/>
              <w:spacing w:line="276" w:lineRule="auto"/>
              <w:ind w:firstLine="0" w:firstLineChars="0"/>
              <w:jc w:val="left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>At the same time, we also hope to explore with the participants the possibility of cooperation in CAREC international regional standardization and CAREC international logistics carrier liability insurance.</w:t>
            </w:r>
          </w:p>
        </w:tc>
      </w:tr>
      <w:tr>
        <w:trPr>
          <w:trHeight w:val="1435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15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 Monday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Astana，Kazakhstan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 Samruk-Kazyna</w:t>
            </w:r>
          </w:p>
          <w:p>
            <w:pPr>
              <w:widowControl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Samruk-Kazyna will present the current status of the Caspian corridor and analyze investment opportunities and directions in transportation logistics and trade in Kazakhstan.</w:t>
            </w:r>
          </w:p>
        </w:tc>
      </w:tr>
      <w:tr>
        <w:trPr>
          <w:trHeight w:val="548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Astana，Kazakhstan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 KTZ Express</w:t>
            </w:r>
          </w:p>
          <w:p>
            <w:pPr>
              <w:widowControl/>
              <w:textAlignment w:val="center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 multimodal transport subsidiary under Kazakhstan National Railways.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Analyze the current development status and opportunities of multimodal transport under TITR;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Share experiences in multimodal transport business;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Exchange the cooperation needs for its business transformation.</w:t>
            </w:r>
          </w:p>
        </w:tc>
      </w:tr>
      <w:tr>
        <w:trPr>
          <w:trHeight w:val="1693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Astana - Aktau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（Kazakhstan）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Evening:</w:t>
            </w:r>
          </w:p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Board a flight from Astana to Aktau.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1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16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Tuesday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Aktau，Kazakhstan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AM：</w:t>
            </w:r>
          </w:p>
          <w:p>
            <w:pP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 Aktau Port</w:t>
            </w:r>
          </w:p>
          <w:p>
            <w:pPr>
              <w:autoSpaceDE/>
              <w:autoSpaceDN/>
              <w:spacing w:line="276" w:lineRule="auto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Gain insight into the current status of transportation hub at Aktau Port and opportunities and requirements under the 2025 plan for the construction of the Aktau container hub.</w:t>
            </w:r>
          </w:p>
          <w:p>
            <w:pPr>
              <w:widowControl/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Port cooperation needs: Large-scale infrastructure companies, loading and unloading machinery equipment companies.</w:t>
            </w:r>
          </w:p>
        </w:tc>
      </w:tr>
      <w:tr>
        <w:trPr>
          <w:trHeight w:val="8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Aktau，Kazakhstan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auto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PM：</w:t>
            </w:r>
          </w:p>
          <w:p>
            <w:pPr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 Kuryk Port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17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Wednesday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Aktau，Kazakhstan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 Full Day：</w:t>
            </w:r>
          </w:p>
          <w:p>
            <w:pPr>
              <w:autoSpaceDE/>
              <w:autoSpaceDN/>
              <w:spacing w:line="276" w:lineRule="auto"/>
              <w:jc w:val="left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the headquarters of Semurg Invest (founder of the Kazakh National Fund and one of the shareholders of Kuryk Port)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Discuss the construction, business opportunities, and investment cooperation projects of Kuryk Port Trade Logistics Hub.</w:t>
            </w:r>
          </w:p>
        </w:tc>
      </w:tr>
      <w:tr>
        <w:trPr>
          <w:trHeight w:val="17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18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Thursday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Aktau，Kazakhstan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-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Early morning: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Flight from Aktau to Baku.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ind w:firstLine="480" w:firstLineChars="200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2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auto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Visit  Baku Sea Port 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and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 the Baku International Sea Trade Port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Understand the current status of the Baku seaport transportation hub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>.</w:t>
            </w:r>
          </w:p>
        </w:tc>
      </w:tr>
      <w:tr>
        <w:trPr>
          <w:trHeight w:val="1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Visit to Baku Seaport Headquarters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Understand the business opportunities for Baku under the digital transformation plans for port infrastructure and transportation facilities, and discussing investment cooperation projects.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Port cooperation needs: ICT Infrastructure Company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Smart device provider</w:t>
            </w:r>
          </w:p>
        </w:tc>
      </w:tr>
      <w:tr>
        <w:trPr>
          <w:trHeight w:val="2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19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Friday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utoSpaceDE/>
              <w:autoSpaceDN/>
              <w:spacing w:line="276" w:lineRule="auto"/>
              <w:ind w:firstLine="0" w:firstLineChars="0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V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isit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 the ADY Express-Azerbaijan Railway Freight Forwarding Company</w:t>
            </w:r>
          </w:p>
          <w:p>
            <w:pPr>
              <w:pStyle w:val="2"/>
              <w:ind w:firstLine="0" w:firstLineChars="0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480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Company Introduction and Investment 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CN"/>
              </w:rPr>
              <w:t xml:space="preserve">Exchange the 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Cooperation Needs</w:t>
            </w:r>
          </w:p>
          <w:p>
            <w:pPr>
              <w:widowControl/>
              <w:numPr>
                <w:ilvl w:val="-1"/>
                <w:numId w:val="0"/>
              </w:numPr>
              <w:autoSpaceDE/>
              <w:autoSpaceDN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16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PM：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Summary of the meeting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Networking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20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th</w:t>
            </w:r>
          </w:p>
          <w:p>
            <w:pPr>
              <w:pStyle w:val="2"/>
              <w:ind w:firstLine="480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Saturday</w:t>
            </w:r>
          </w:p>
          <w:p>
            <w:pPr>
              <w:pStyle w:val="2"/>
              <w:ind w:firstLine="0" w:firstLineChars="0"/>
              <w:jc w:val="both"/>
              <w:rPr>
                <w:rFonts w:ascii="Times New Roman Regular" w:hAnsi="Times New Roman Regular" w:cs="Times New Roman Regular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 xml:space="preserve">Informal communication: </w:t>
            </w:r>
          </w:p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trip to the Baku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ind w:firstLine="480" w:firstLineChars="200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  <w:tr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April 21</w:t>
            </w: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vertAlign w:val="superscript"/>
                <w:lang w:eastAsia="zh-CN"/>
              </w:rPr>
              <w:t>st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2024</w:t>
            </w:r>
          </w:p>
          <w:p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Sunday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Baku, Azerbaijan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-</w:t>
            </w:r>
          </w:p>
          <w:p>
            <w:pPr>
              <w:autoSpaceDE/>
              <w:autoSpaceDN/>
              <w:spacing w:line="276" w:lineRule="auto"/>
              <w:jc w:val="center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Beijing, China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  <w:t>Closing of the touring, departure to Beijing, China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line="276" w:lineRule="auto"/>
              <w:ind w:firstLine="480" w:firstLineChars="200"/>
              <w:jc w:val="both"/>
              <w:rPr>
                <w:rFonts w:ascii="Times New Roman Regular" w:hAnsi="Times New Roman Regular" w:eastAsia="方正仿宋_GBK" w:cs="Times New Roman Regular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ind w:left="0" w:firstLine="0" w:firstLineChars="0"/>
        <w:rPr>
          <w:rFonts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ascii="Times New Roman" w:hAnsi="Times New Roman" w:eastAsia="方正仿宋_GBK" w:cs="Times New Roman"/>
          <w:sz w:val="21"/>
          <w:szCs w:val="21"/>
          <w:lang w:eastAsia="zh-CN"/>
        </w:rPr>
        <w:t xml:space="preserve">The organizers reserve the right to change the program due to unforeseen circumstances. Participants will be informed of the changes in due course.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B3060"/>
    <w:multiLevelType w:val="singleLevel"/>
    <w:tmpl w:val="F7FB30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CE2FDB"/>
    <w:multiLevelType w:val="singleLevel"/>
    <w:tmpl w:val="FECE2F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E2FD"/>
    <w:rsid w:val="5FFFE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2024-02-28T17:17:00Z</dcterms:created>
  <dc:creator>captlin</dc:creator>
  <cp:lastModifiedBy>captlin</cp:lastModifiedBy>
  <dcterms:modified xsi:type="dcterms:W3CDTF">2024-02-28T17:25:16Z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4725674BA7BA06083FFADE65C6B1411F_41</vt:lpwstr>
  </property>
</Properties>
</file>